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</w:rPr>
        <w:t>H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  <w:lang w:val="en-US" w:eastAsia="zh-CN"/>
        </w:rPr>
        <w:t>NRB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</w:rPr>
        <w:t>-</w:t>
      </w:r>
      <w:r>
        <w:rPr>
          <w:rFonts w:hint="eastAsia" w:ascii="宋体" w:hAnsi="宋体" w:eastAsia="宋体" w:cs="宋体"/>
          <w:b/>
          <w:bCs w:val="0"/>
          <w:color w:val="auto"/>
          <w:kern w:val="1"/>
          <w:sz w:val="24"/>
          <w:szCs w:val="24"/>
          <w:highlight w:val="none"/>
          <w:u w:val="none"/>
          <w:lang w:val="en-US" w:eastAsia="zh-CN"/>
        </w:rPr>
        <w:t>YF-BH/GJGP-2023- 01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4万元/包件2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一分公司2023.3月-2024.3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月开工项目活动板房、钢结构棚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</w:rPr>
                    <w:t>H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>NRB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</w:rPr>
                    <w:t>-</w:t>
                  </w:r>
                  <w:r>
                    <w:rPr>
                      <w:rFonts w:hint="eastAsia" w:ascii="宋体" w:hAnsi="宋体" w:eastAsia="宋体" w:cs="宋体"/>
                      <w:b/>
                      <w:bCs w:val="0"/>
                      <w:color w:val="auto"/>
                      <w:kern w:val="1"/>
                      <w:sz w:val="24"/>
                      <w:szCs w:val="24"/>
                      <w:highlight w:val="none"/>
                      <w:u w:val="none"/>
                      <w:lang w:val="en-US" w:eastAsia="zh-CN"/>
                    </w:rPr>
                    <w:t>YF-BH/GJGP-2023- 01</w:t>
                  </w:r>
                  <w:r>
                    <w:rPr>
                      <w:rFonts w:hint="eastAsia" w:ascii="宋体" w:hAnsi="宋体" w:eastAsia="宋体" w:cs="宋体"/>
                      <w:b w:val="0"/>
                      <w:bCs/>
                      <w:color w:val="auto"/>
                      <w:kern w:val="1"/>
                      <w:sz w:val="30"/>
                      <w:szCs w:val="30"/>
                      <w:highlight w:val="none"/>
                      <w:u w:val="none"/>
                      <w:lang w:val="en-US" w:eastAsia="zh-CN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